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/>
        <w:ind w:left="0" w:right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推动《中国制造2025》与“互联网+”融合发展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90" w:lineRule="atLeast"/>
        <w:ind w:left="0" w:right="0"/>
        <w:jc w:val="center"/>
        <w:rPr>
          <w:rFonts w:hint="eastAsia" w:ascii="宋体" w:hAnsi="宋体" w:eastAsia="宋体" w:cs="宋体"/>
          <w:color w:val="070707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olor w:val="000000"/>
          <w:sz w:val="21"/>
          <w:szCs w:val="21"/>
          <w:bdr w:val="none" w:color="auto" w:sz="0" w:space="0"/>
          <w:shd w:val="clear" w:fill="F9F9F9"/>
        </w:rPr>
        <w:t>李克强主持召开国务院常务会议</w:t>
      </w:r>
      <w:r>
        <w:rPr>
          <w:rStyle w:val="5"/>
          <w:rFonts w:hint="eastAsia" w:ascii="宋体" w:hAnsi="宋体" w:eastAsia="宋体" w:cs="宋体"/>
          <w:b/>
          <w:i w:val="0"/>
          <w:color w:val="993300"/>
          <w:sz w:val="21"/>
          <w:szCs w:val="21"/>
          <w:bdr w:val="none" w:color="auto" w:sz="0" w:space="0"/>
          <w:shd w:val="clear" w:fill="F9F9F9"/>
        </w:rPr>
        <w:br w:type="textWrapping"/>
      </w:r>
      <w:r>
        <w:rPr>
          <w:rStyle w:val="5"/>
          <w:rFonts w:hint="eastAsia" w:ascii="宋体" w:hAnsi="宋体" w:eastAsia="宋体" w:cs="宋体"/>
          <w:b/>
          <w:i w:val="0"/>
          <w:color w:val="000000"/>
          <w:sz w:val="21"/>
          <w:szCs w:val="21"/>
          <w:bdr w:val="none" w:color="auto" w:sz="0" w:space="0"/>
          <w:shd w:val="clear" w:fill="F9F9F9"/>
        </w:rPr>
        <w:t>确定金融支持工业增效升级的措施 壮大实体经济基础</w:t>
      </w:r>
      <w:r>
        <w:rPr>
          <w:rStyle w:val="5"/>
          <w:rFonts w:hint="eastAsia" w:ascii="宋体" w:hAnsi="宋体" w:eastAsia="宋体" w:cs="宋体"/>
          <w:b/>
          <w:i w:val="0"/>
          <w:color w:val="993300"/>
          <w:sz w:val="21"/>
          <w:szCs w:val="21"/>
          <w:bdr w:val="none" w:color="auto" w:sz="0" w:space="0"/>
          <w:shd w:val="clear" w:fill="F9F9F9"/>
        </w:rPr>
        <w:br w:type="textWrapping"/>
      </w:r>
      <w:r>
        <w:rPr>
          <w:rStyle w:val="5"/>
          <w:rFonts w:hint="eastAsia" w:ascii="宋体" w:hAnsi="宋体" w:eastAsia="宋体" w:cs="宋体"/>
          <w:b/>
          <w:i w:val="0"/>
          <w:color w:val="000000"/>
          <w:sz w:val="21"/>
          <w:szCs w:val="21"/>
          <w:bdr w:val="none" w:color="auto" w:sz="0" w:space="0"/>
          <w:shd w:val="clear" w:fill="F9F9F9"/>
        </w:rPr>
        <w:t>决定推动《中国制造2025》与“互联网+”融合发展</w:t>
      </w:r>
      <w:r>
        <w:rPr>
          <w:rStyle w:val="5"/>
          <w:rFonts w:hint="eastAsia" w:ascii="宋体" w:hAnsi="宋体" w:eastAsia="宋体" w:cs="宋体"/>
          <w:b/>
          <w:i w:val="0"/>
          <w:color w:val="993300"/>
          <w:sz w:val="21"/>
          <w:szCs w:val="21"/>
          <w:bdr w:val="none" w:color="auto" w:sz="0" w:space="0"/>
          <w:shd w:val="clear" w:fill="F9F9F9"/>
        </w:rPr>
        <w:br w:type="textWrapping"/>
      </w:r>
      <w:r>
        <w:rPr>
          <w:rStyle w:val="5"/>
          <w:rFonts w:hint="eastAsia" w:ascii="宋体" w:hAnsi="宋体" w:eastAsia="宋体" w:cs="宋体"/>
          <w:b/>
          <w:i w:val="0"/>
          <w:color w:val="000000"/>
          <w:sz w:val="21"/>
          <w:szCs w:val="21"/>
          <w:bdr w:val="none" w:color="auto" w:sz="0" w:space="0"/>
          <w:shd w:val="clear" w:fill="F9F9F9"/>
        </w:rPr>
        <w:t>决定清理规范一批政府性基金收费项目 持续为企业减负</w:t>
      </w:r>
      <w:r>
        <w:rPr>
          <w:rStyle w:val="5"/>
          <w:rFonts w:hint="eastAsia" w:ascii="宋体" w:hAnsi="宋体" w:eastAsia="宋体" w:cs="宋体"/>
          <w:b/>
          <w:i w:val="0"/>
          <w:color w:val="993300"/>
          <w:sz w:val="21"/>
          <w:szCs w:val="21"/>
          <w:bdr w:val="none" w:color="auto" w:sz="0" w:space="0"/>
          <w:shd w:val="clear" w:fill="F9F9F9"/>
        </w:rPr>
        <w:br w:type="textWrapping"/>
      </w:r>
      <w:r>
        <w:rPr>
          <w:rStyle w:val="5"/>
          <w:rFonts w:hint="eastAsia" w:ascii="宋体" w:hAnsi="宋体" w:eastAsia="宋体" w:cs="宋体"/>
          <w:b/>
          <w:i w:val="0"/>
          <w:color w:val="000000"/>
          <w:sz w:val="21"/>
          <w:szCs w:val="21"/>
          <w:bdr w:val="none" w:color="auto" w:sz="0" w:space="0"/>
          <w:shd w:val="clear" w:fill="F9F9F9"/>
        </w:rPr>
        <w:t>部署全面加强农村留守儿童关爱保护</w:t>
      </w:r>
      <w:r>
        <w:rPr>
          <w:rFonts w:hint="eastAsia" w:ascii="宋体" w:hAnsi="宋体" w:eastAsia="宋体" w:cs="宋体"/>
          <w:color w:val="070707"/>
          <w:sz w:val="21"/>
          <w:szCs w:val="21"/>
          <w:bdr w:val="none" w:color="auto" w:sz="0" w:space="0"/>
          <w:shd w:val="clear" w:fill="F9F9F9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color w:val="070707"/>
          <w:sz w:val="21"/>
          <w:szCs w:val="21"/>
        </w:rPr>
      </w:pPr>
      <w:r>
        <w:rPr>
          <w:rFonts w:hint="eastAsia" w:ascii="宋体" w:hAnsi="宋体" w:eastAsia="宋体" w:cs="宋体"/>
          <w:color w:val="070707"/>
          <w:sz w:val="21"/>
          <w:szCs w:val="21"/>
          <w:bdr w:val="none" w:color="auto" w:sz="0" w:space="0"/>
          <w:shd w:val="clear" w:fill="F9F9F9"/>
        </w:rPr>
        <w:t xml:space="preserve"> 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color w:val="070707"/>
          <w:sz w:val="21"/>
          <w:szCs w:val="21"/>
        </w:rPr>
      </w:pPr>
      <w:r>
        <w:rPr>
          <w:rFonts w:hint="eastAsia" w:ascii="宋体" w:hAnsi="宋体" w:eastAsia="宋体" w:cs="宋体"/>
          <w:color w:val="070707"/>
          <w:sz w:val="21"/>
          <w:szCs w:val="21"/>
          <w:bdr w:val="none" w:color="auto" w:sz="0" w:space="0"/>
          <w:shd w:val="clear" w:fill="F9F9F9"/>
        </w:rPr>
        <w:t xml:space="preserve">国务院总理李克强1月27日主持召开国务院常务会议，确定金融支持工业增效升级的措施，壮大实体经济基础；决定推动《中国制造2025》与“互联网+”融合发展；决定清理规范一批政府性基金收费项目，持续为企业减负；部署全面加强农村留守儿童关爱保护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color w:val="070707"/>
          <w:sz w:val="21"/>
          <w:szCs w:val="21"/>
        </w:rPr>
      </w:pPr>
      <w:r>
        <w:rPr>
          <w:rFonts w:hint="eastAsia" w:ascii="宋体" w:hAnsi="宋体" w:eastAsia="宋体" w:cs="宋体"/>
          <w:color w:val="070707"/>
          <w:sz w:val="21"/>
          <w:szCs w:val="21"/>
          <w:bdr w:val="none" w:color="auto" w:sz="0" w:space="0"/>
          <w:shd w:val="clear" w:fill="F9F9F9"/>
        </w:rPr>
        <w:t xml:space="preserve"> 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color w:val="070707"/>
          <w:sz w:val="21"/>
          <w:szCs w:val="21"/>
        </w:rPr>
      </w:pPr>
      <w:r>
        <w:rPr>
          <w:rFonts w:hint="eastAsia" w:ascii="宋体" w:hAnsi="宋体" w:eastAsia="宋体" w:cs="宋体"/>
          <w:color w:val="070707"/>
          <w:sz w:val="21"/>
          <w:szCs w:val="21"/>
          <w:bdr w:val="none" w:color="auto" w:sz="0" w:space="0"/>
          <w:shd w:val="clear" w:fill="F9F9F9"/>
        </w:rPr>
        <w:t xml:space="preserve">会议指出，用好和创新金融工具，支持工业增效升级，是金融更好服务实体经济的重要内容。会议确定，一是引导金融机构加大对高新技术企业、重大技术装备、工业强基工程等的信贷支持，促进培育发展新动能。制定金融支持制造强国建设指导意见，发展能效贷款、排污权抵押贷款等绿色信贷。二是鼓励通过并购贷款、发行优先股和可转换债券等筹集资金开展兼并重组，推动改造传统动能。支持大企业设立产业创投基金，支持地方开展小微企业融资担保代偿补偿等业务。三是对长期亏损、失去清偿能力或环保、安全生产不达标且整改无望的企业及落后产能，坚决压缩退出相关贷款，支持化解过剩产能。四是拓宽融资渠道，鼓励扩大股权、债券等直接融资，大力发展应收账款融资。支持运作规范、偿债有保障的企业发行公司信用债调整债务结构。五是继续整顿金融服务乱收费，取消不合理收费项目，降低不合理收费标准。支持银行加快不良贷款处置，惩戒恶意逃废债务行为，防范和化解金融风险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color w:val="070707"/>
          <w:sz w:val="21"/>
          <w:szCs w:val="21"/>
        </w:rPr>
      </w:pPr>
      <w:r>
        <w:rPr>
          <w:rFonts w:hint="eastAsia" w:ascii="宋体" w:hAnsi="宋体" w:eastAsia="宋体" w:cs="宋体"/>
          <w:color w:val="070707"/>
          <w:sz w:val="21"/>
          <w:szCs w:val="21"/>
          <w:bdr w:val="none" w:color="auto" w:sz="0" w:space="0"/>
          <w:shd w:val="clear" w:fill="F9F9F9"/>
        </w:rPr>
        <w:t xml:space="preserve"> 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color w:val="070707"/>
          <w:sz w:val="21"/>
          <w:szCs w:val="21"/>
        </w:rPr>
      </w:pPr>
      <w:r>
        <w:rPr>
          <w:rFonts w:hint="eastAsia" w:ascii="宋体" w:hAnsi="宋体" w:eastAsia="宋体" w:cs="宋体"/>
          <w:color w:val="070707"/>
          <w:sz w:val="21"/>
          <w:szCs w:val="21"/>
          <w:bdr w:val="none" w:color="auto" w:sz="0" w:space="0"/>
          <w:shd w:val="clear" w:fill="F9F9F9"/>
        </w:rPr>
        <w:t xml:space="preserve">会议指出，实施《中国制造2025》对促进制造业升级等发挥了积极作用，这也是深化供给侧结构性改革的重要内容。必须坚持市场导向，引导企业适应和引领市场，在“中国制造+互联网”上尽快取得突破，实现中国制造迈向中高端。一要以推进数字化、网络化、智能化制造为抓手，加快构筑自动控制与感知技术、工业云与智能服务平台、工业互联网等制造业新基础，培育制造业新模式、新业态、新产品。二要抓紧发布智能制造、绿色制造、质量品牌提升等11个配套实施指南、行动计划或专项规划。促进大中小企业、初创企业、高校、科研院所等多方协同，加快建设制造业创新中心、“双创”平台，带动更多创新型中小企业成长。三要完善加计扣除等政策，适当加大财政投入，设立“中国制造2025”专项资金，启动一批重大标志性项目和技改工程。四要加强标准建设，面向市场多样化需求制造消费者和客户需要的高质量中高端产品。五要加强国际交流，深化中外制造业创新合作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color w:val="070707"/>
          <w:sz w:val="21"/>
          <w:szCs w:val="21"/>
        </w:rPr>
      </w:pPr>
      <w:r>
        <w:rPr>
          <w:rFonts w:hint="eastAsia" w:ascii="宋体" w:hAnsi="宋体" w:eastAsia="宋体" w:cs="宋体"/>
          <w:color w:val="070707"/>
          <w:sz w:val="21"/>
          <w:szCs w:val="21"/>
          <w:bdr w:val="none" w:color="auto" w:sz="0" w:space="0"/>
          <w:shd w:val="clear" w:fill="F9F9F9"/>
        </w:rPr>
        <w:t xml:space="preserve"> 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color w:val="070707"/>
          <w:sz w:val="21"/>
          <w:szCs w:val="21"/>
        </w:rPr>
      </w:pPr>
      <w:r>
        <w:rPr>
          <w:rFonts w:hint="eastAsia" w:ascii="宋体" w:hAnsi="宋体" w:eastAsia="宋体" w:cs="宋体"/>
          <w:color w:val="070707"/>
          <w:sz w:val="21"/>
          <w:szCs w:val="21"/>
          <w:bdr w:val="none" w:color="auto" w:sz="0" w:space="0"/>
          <w:shd w:val="clear" w:fill="F9F9F9"/>
        </w:rPr>
        <w:t xml:space="preserve">为持续清理和规范涉企收费，减轻企业负担，会议决定，从今年2月1日起，一是依法将新菜地开发建设基金和育林基金征收标准降为零，停征价格调节基金，整合归并水库移民扶持基金等7项征收对象相同、计征方式和资金用途相似的政府性基金，取消地方违规设立的政府性基金。二是将教育费附加、地方教育附加、水利建设基金的免征范围由月销售额或营业额不超过3万元的缴纳义务人，扩大到不超过10万元。免征政策长期有效。上述措施预计每年可为企业减负约260亿元。今后一般不再新设政府性基金项目，保留的全部进入目录清单，公开预决算，接受社会监督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color w:val="070707"/>
          <w:sz w:val="21"/>
          <w:szCs w:val="21"/>
        </w:rPr>
      </w:pPr>
      <w:r>
        <w:rPr>
          <w:rFonts w:hint="eastAsia" w:ascii="宋体" w:hAnsi="宋体" w:eastAsia="宋体" w:cs="宋体"/>
          <w:color w:val="070707"/>
          <w:sz w:val="21"/>
          <w:szCs w:val="21"/>
          <w:bdr w:val="none" w:color="auto" w:sz="0" w:space="0"/>
          <w:shd w:val="clear" w:fill="F9F9F9"/>
        </w:rPr>
        <w:t xml:space="preserve"> 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color w:val="070707"/>
          <w:sz w:val="21"/>
          <w:szCs w:val="21"/>
        </w:rPr>
      </w:pPr>
      <w:r>
        <w:rPr>
          <w:rFonts w:hint="eastAsia" w:ascii="宋体" w:hAnsi="宋体" w:eastAsia="宋体" w:cs="宋体"/>
          <w:color w:val="070707"/>
          <w:sz w:val="21"/>
          <w:szCs w:val="21"/>
          <w:bdr w:val="none" w:color="auto" w:sz="0" w:space="0"/>
          <w:shd w:val="clear" w:fill="F9F9F9"/>
        </w:rPr>
        <w:t xml:space="preserve">会议认为，加强关爱保护，使数千万农村留守儿童安全健康成长，是家庭和政府、社会的共同责任。会议要求，必须依法强化家庭监护主体责任，落实基层政府、村（居）委会和学校等的安全管理、监督、教育等职责，支持社工、慈善组织等社会力量参与，完善关爱服务体系。建立强制报告、干预、帮扶等机制，打击侵害留守儿童的各种违法行为。加大寄宿制学校等建设。通过推进农民工市民化、引导扶持返乡创业就业等措施，从源头上减少留守儿童。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169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1"/>
      <w:szCs w:val="21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4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bds_more1"/>
    <w:basedOn w:val="4"/>
    <w:uiPriority w:val="0"/>
    <w:rPr>
      <w:bdr w:val="none" w:color="auto" w:sz="0" w:space="0"/>
    </w:rPr>
  </w:style>
  <w:style w:type="character" w:customStyle="1" w:styleId="16">
    <w:name w:val="bds_more2"/>
    <w:basedOn w:val="4"/>
    <w:uiPriority w:val="0"/>
    <w:rPr>
      <w:bdr w:val="none" w:color="auto" w:sz="0" w:space="0"/>
    </w:rPr>
  </w:style>
  <w:style w:type="character" w:customStyle="1" w:styleId="17">
    <w:name w:val="mp"/>
    <w:basedOn w:val="4"/>
    <w:uiPriority w:val="0"/>
  </w:style>
  <w:style w:type="character" w:customStyle="1" w:styleId="18">
    <w:name w:val="mp1"/>
    <w:basedOn w:val="4"/>
    <w:uiPriority w:val="0"/>
  </w:style>
  <w:style w:type="character" w:customStyle="1" w:styleId="19">
    <w:name w:val="mp2"/>
    <w:basedOn w:val="4"/>
    <w:uiPriority w:val="0"/>
  </w:style>
  <w:style w:type="character" w:customStyle="1" w:styleId="20">
    <w:name w:val="od"/>
    <w:basedOn w:val="4"/>
    <w:uiPriority w:val="0"/>
    <w:rPr>
      <w:bdr w:val="none" w:color="auto" w:sz="0" w:space="0"/>
    </w:rPr>
  </w:style>
  <w:style w:type="character" w:customStyle="1" w:styleId="21">
    <w:name w:val="bds_nopic"/>
    <w:basedOn w:val="4"/>
    <w:uiPriority w:val="0"/>
  </w:style>
  <w:style w:type="character" w:customStyle="1" w:styleId="22">
    <w:name w:val="bds_nopic1"/>
    <w:basedOn w:val="4"/>
    <w:uiPriority w:val="0"/>
  </w:style>
  <w:style w:type="character" w:customStyle="1" w:styleId="23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2016-03-03T13:17:42Z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